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湖北城市职业学校采购法律顾问服务项目招标文件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依据《湖北省教育厅关于建立健全教育系统法律顾问制度的实施意见要求》（鄂教政法[2016]6号）文件要求，由校办申报，经学校党政联席会研究同意，现对我校法律顾问服务项目组织公开采购，欢迎具备资格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条件的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服务机构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参与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竞标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一、采购内容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选聘具有资质的执业律师作为本校的常年法律顾问，为我校提供法律顾问服务，聘期2年，主要履行职责：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1.为学校重大决策、重大行政行为、重要民商事行为进行法律论证、风险评估或提供法律意见。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2.参与对学校起草的规章制度、规范性文件以及其他重要政策性文件进行廉洁性评估和合法性审查。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3.为学校处置涉法涉诉案件、信访案件和重大突发事件等提供法律服务。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4. 为学校提供日常法律咨询，代拟或出具法律文书。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5. 协助学校开展法治教育培训。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6.学校规定的其他职责。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二、采购预算：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人民币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35000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元/年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1、中华人民共和国境内合法成立的律师事务所，具有司法行政管理部门核发的执业许可证，近3年年检合格，在黄石市城区设有常设机构。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2、必须是黄石市财政局政府采购协议供应商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拟聘律师政治素质高，拥护党的理论和路线方针政策，忠于宪法和法律，热爱职业教育事业，具有良好职业道德和社会责任感；熟悉教育法律法规，在所从事的法学教学、法学研究、法律实践等领域具有一定影响和经验，专业能力较强，能全面、熟练履行服务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4、律师事务所未受到司法行政部门行政处罚，拟聘律师未受过刑事处罚，未受到司法行政部门处罚。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四、投标文件内容（均需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加盖公章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1、投标报价单：报价不得高于预算价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人民币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35000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元/年，否则视为无效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 (报价单见附件：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2、律师事务所执业许可证（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复印件)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3、律师事务所在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黄石市城区设有常设机构的证明材料；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律师事务所整体情况介绍、取得的荣誉及其证明材料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5、近三年（2020年至今）的类似业绩，提供法律顾问合同的复印件；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6、拟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律师的执业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资格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证书、简历（含：政治面貌）、取得的荣誉等材料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7、在省级及以上报刊发表过论文的证明材料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8、提供相关承诺：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拟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派执业律师在近三年(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2020年至今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)未受到司法行政部门的行政处罚的承诺书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工作日24小时提供咨询服务，突发事件1小时到现场的承诺；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按校方要求及时修改审查相关合同的承诺；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因律师的过错行为给校方带来损失的赔偿承诺；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5" w:leftChars="0" w:hanging="425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校方诉讼业务优惠服务承诺。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五、投标文件递交截止时间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2023年6月15日（周四）上午10：00前，将密封（封口处加盖公章）的投标文件送至湖北城市职业学校采购办（办公楼四楼A401），超过该时间送达的文件采购人将拒收，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不接收邮递文件。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    址：湖北城市职业学校（黄石市下陆区发展大道155号）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 系 人：吴老师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联系电话：0714-6376556、0714-6379882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七、定标原则：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1、符合资质条件；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采用综合评分法，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评审小组</w:t>
      </w:r>
      <w:r>
        <w:rPr>
          <w:rFonts w:hint="eastAsia" w:ascii="微软雅黑" w:hAnsi="微软雅黑" w:eastAsia="微软雅黑" w:cs="微软雅黑"/>
          <w:sz w:val="24"/>
          <w:szCs w:val="24"/>
        </w:rPr>
        <w:t>按评审后得分由高到低顺序排列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排名第一的中标候选人为中标人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3、如</w:t>
      </w:r>
      <w:r>
        <w:rPr>
          <w:rFonts w:hint="eastAsia" w:ascii="微软雅黑" w:hAnsi="微软雅黑" w:eastAsia="微软雅黑" w:cs="微软雅黑"/>
          <w:sz w:val="24"/>
          <w:szCs w:val="24"/>
        </w:rPr>
        <w:t>中标候选人放弃中标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sz w:val="24"/>
          <w:szCs w:val="24"/>
        </w:rPr>
        <w:t>因不可抗力不能履行合同，招标人可以按照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评审小组</w:t>
      </w:r>
      <w:r>
        <w:rPr>
          <w:rFonts w:hint="eastAsia" w:ascii="微软雅黑" w:hAnsi="微软雅黑" w:eastAsia="微软雅黑" w:cs="微软雅黑"/>
          <w:sz w:val="24"/>
          <w:szCs w:val="24"/>
        </w:rPr>
        <w:t>提出的中标候选人名单排序依次确定其他中标候选人为中标人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八、评分细则：</w:t>
      </w:r>
    </w:p>
    <w:tbl>
      <w:tblPr>
        <w:tblStyle w:val="7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960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报价部分（5分）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满足招标文件要求且投标价格最低的投标报价为基准价，其价格分为满分，其他投标人的价格分统一按照下列公式计算：投标报价得分=（评标基准价/投标报价）×5%×100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综合实力（80分）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律师事务所整体规模情况综合评估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律师事务所取得的荣誉，每个得2分，满分6分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律师事务所近三年（2020年至今）的类似业绩，提供法律顾问合同的复印件，每个得3分，满分15分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拟派律师的任职年限、从业经验、服务能力综合评估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拟派律师取得过荣誉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拟派律师近三年（2020年至今）有在职业学校担任过法律顾问的从业经历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在省级报刊发表过论文得4分，在国家级报刊发表过论文得8分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相关承诺（15分）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提供相关承诺：（每提供一个得3分，满分15分）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(1)拟派执业律师在近三年(2020年至今)未受到司法行政部门的行政处罚的承诺书；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(2)工作日24小时提供咨询服务，突发事件1小时到现场的承诺；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(3)按校方要求及时修改审查相关合同的承诺；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(4)因律师的过错行为给校方带来损失的赔偿承诺；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(5)校方诉讼业务优惠服务承诺。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九、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其他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补充事宜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1、本次招标结果经校党政联席会上会后将在校网进行公示（一个工作日）；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2、中标供应商应在公示期满后3个工作日内与我校签订合同，如果期间双方就合同无法达成一致，我方有权视同该供应商自愿放弃本次采购项目；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3、参与本次招标的所有投标文件概不退还。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2023年06月9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5B265"/>
    <w:multiLevelType w:val="singleLevel"/>
    <w:tmpl w:val="7E05B265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000000"/>
    <w:rsid w:val="005D4603"/>
    <w:rsid w:val="00EE75BA"/>
    <w:rsid w:val="01007149"/>
    <w:rsid w:val="01A4613B"/>
    <w:rsid w:val="024164DA"/>
    <w:rsid w:val="026B4DD9"/>
    <w:rsid w:val="02984C1C"/>
    <w:rsid w:val="02C26585"/>
    <w:rsid w:val="02D82DF5"/>
    <w:rsid w:val="02F76F90"/>
    <w:rsid w:val="03C86460"/>
    <w:rsid w:val="04252471"/>
    <w:rsid w:val="08047F98"/>
    <w:rsid w:val="08BE12CB"/>
    <w:rsid w:val="08E34BD7"/>
    <w:rsid w:val="09494195"/>
    <w:rsid w:val="0A0E5944"/>
    <w:rsid w:val="0B660A4C"/>
    <w:rsid w:val="0BC10E3B"/>
    <w:rsid w:val="0C32331B"/>
    <w:rsid w:val="0CA22E5D"/>
    <w:rsid w:val="0D2244DB"/>
    <w:rsid w:val="0E096F99"/>
    <w:rsid w:val="0F7410BE"/>
    <w:rsid w:val="0F935B80"/>
    <w:rsid w:val="0FC83DF3"/>
    <w:rsid w:val="0FF32205"/>
    <w:rsid w:val="10CC2CDF"/>
    <w:rsid w:val="10D50E9D"/>
    <w:rsid w:val="111D5F75"/>
    <w:rsid w:val="11446DFE"/>
    <w:rsid w:val="118C7594"/>
    <w:rsid w:val="11C54312"/>
    <w:rsid w:val="12C77F04"/>
    <w:rsid w:val="12EF5F14"/>
    <w:rsid w:val="137D15AE"/>
    <w:rsid w:val="15F60B94"/>
    <w:rsid w:val="15FA27BA"/>
    <w:rsid w:val="1641188E"/>
    <w:rsid w:val="1679607E"/>
    <w:rsid w:val="16D27F22"/>
    <w:rsid w:val="176F57A0"/>
    <w:rsid w:val="182668C1"/>
    <w:rsid w:val="184659B2"/>
    <w:rsid w:val="18755563"/>
    <w:rsid w:val="18D742D0"/>
    <w:rsid w:val="19473E61"/>
    <w:rsid w:val="19FE29CC"/>
    <w:rsid w:val="1ACE5D42"/>
    <w:rsid w:val="1AF729CF"/>
    <w:rsid w:val="1B823ECC"/>
    <w:rsid w:val="1C2D4B19"/>
    <w:rsid w:val="1C4C0AB8"/>
    <w:rsid w:val="1DA7396E"/>
    <w:rsid w:val="1F3A01B7"/>
    <w:rsid w:val="1F685AB0"/>
    <w:rsid w:val="1FE43C9B"/>
    <w:rsid w:val="20A62333"/>
    <w:rsid w:val="20AC4F63"/>
    <w:rsid w:val="20B1189A"/>
    <w:rsid w:val="21C35E47"/>
    <w:rsid w:val="231B5F2B"/>
    <w:rsid w:val="24AB55F2"/>
    <w:rsid w:val="25743F13"/>
    <w:rsid w:val="25CF341E"/>
    <w:rsid w:val="262C537D"/>
    <w:rsid w:val="266A14D8"/>
    <w:rsid w:val="26FC72B9"/>
    <w:rsid w:val="28396D83"/>
    <w:rsid w:val="287052B2"/>
    <w:rsid w:val="296F2E1D"/>
    <w:rsid w:val="29CD5669"/>
    <w:rsid w:val="29D9203C"/>
    <w:rsid w:val="29E72E53"/>
    <w:rsid w:val="2A965187"/>
    <w:rsid w:val="2AED20E7"/>
    <w:rsid w:val="2B2A5E1F"/>
    <w:rsid w:val="2D1265F1"/>
    <w:rsid w:val="2D887FDA"/>
    <w:rsid w:val="2E372573"/>
    <w:rsid w:val="2EFF5EDD"/>
    <w:rsid w:val="2F387366"/>
    <w:rsid w:val="2FF91EF6"/>
    <w:rsid w:val="2FFD6246"/>
    <w:rsid w:val="306B55ED"/>
    <w:rsid w:val="30EF2BE1"/>
    <w:rsid w:val="30FD474F"/>
    <w:rsid w:val="31217388"/>
    <w:rsid w:val="31534E04"/>
    <w:rsid w:val="32526B46"/>
    <w:rsid w:val="325A0AE0"/>
    <w:rsid w:val="327D2B4E"/>
    <w:rsid w:val="33880521"/>
    <w:rsid w:val="347D5DC6"/>
    <w:rsid w:val="34DB5698"/>
    <w:rsid w:val="35522529"/>
    <w:rsid w:val="357040B4"/>
    <w:rsid w:val="35756507"/>
    <w:rsid w:val="358A406E"/>
    <w:rsid w:val="384F74CF"/>
    <w:rsid w:val="38BE67CC"/>
    <w:rsid w:val="39CA1AC4"/>
    <w:rsid w:val="3A34719D"/>
    <w:rsid w:val="3BED6453"/>
    <w:rsid w:val="3C522566"/>
    <w:rsid w:val="3C7B3B74"/>
    <w:rsid w:val="3F7A09EB"/>
    <w:rsid w:val="417F6CF4"/>
    <w:rsid w:val="41C334FE"/>
    <w:rsid w:val="41E97955"/>
    <w:rsid w:val="434A7D85"/>
    <w:rsid w:val="43B667CD"/>
    <w:rsid w:val="44222860"/>
    <w:rsid w:val="444117C5"/>
    <w:rsid w:val="4479028E"/>
    <w:rsid w:val="44A47C77"/>
    <w:rsid w:val="44DA4D5E"/>
    <w:rsid w:val="45B950D9"/>
    <w:rsid w:val="45F13B3D"/>
    <w:rsid w:val="45F631F2"/>
    <w:rsid w:val="47254C5A"/>
    <w:rsid w:val="47B93546"/>
    <w:rsid w:val="47BB6A52"/>
    <w:rsid w:val="47BF3798"/>
    <w:rsid w:val="497938BC"/>
    <w:rsid w:val="4A1F1862"/>
    <w:rsid w:val="4A2B37E9"/>
    <w:rsid w:val="4B1117F9"/>
    <w:rsid w:val="4B2332A7"/>
    <w:rsid w:val="4BDA5BF6"/>
    <w:rsid w:val="4BDF7F20"/>
    <w:rsid w:val="4C71676D"/>
    <w:rsid w:val="4D597F6B"/>
    <w:rsid w:val="4D68796E"/>
    <w:rsid w:val="4D6A18BC"/>
    <w:rsid w:val="4DA8508E"/>
    <w:rsid w:val="4DA97C06"/>
    <w:rsid w:val="4DF4744B"/>
    <w:rsid w:val="4E4F5220"/>
    <w:rsid w:val="4FA21219"/>
    <w:rsid w:val="4FB0726A"/>
    <w:rsid w:val="50B654C3"/>
    <w:rsid w:val="5146336B"/>
    <w:rsid w:val="525E05C3"/>
    <w:rsid w:val="52C65703"/>
    <w:rsid w:val="54524241"/>
    <w:rsid w:val="548F08CC"/>
    <w:rsid w:val="55202DAA"/>
    <w:rsid w:val="55E3744A"/>
    <w:rsid w:val="55F806A0"/>
    <w:rsid w:val="56206C3A"/>
    <w:rsid w:val="56286F17"/>
    <w:rsid w:val="56335624"/>
    <w:rsid w:val="579D3E2F"/>
    <w:rsid w:val="57B232CE"/>
    <w:rsid w:val="58047084"/>
    <w:rsid w:val="589F4E9A"/>
    <w:rsid w:val="599E02CD"/>
    <w:rsid w:val="5AD97D9D"/>
    <w:rsid w:val="5B5D6CB7"/>
    <w:rsid w:val="5C167BAF"/>
    <w:rsid w:val="5C5B4474"/>
    <w:rsid w:val="5D200C04"/>
    <w:rsid w:val="5DBC41B5"/>
    <w:rsid w:val="5E023E4C"/>
    <w:rsid w:val="5E8C7702"/>
    <w:rsid w:val="5F4E0467"/>
    <w:rsid w:val="5F7F1523"/>
    <w:rsid w:val="5FD90725"/>
    <w:rsid w:val="5FE92152"/>
    <w:rsid w:val="602D6584"/>
    <w:rsid w:val="605E76D6"/>
    <w:rsid w:val="60F22062"/>
    <w:rsid w:val="612E4A64"/>
    <w:rsid w:val="613B7256"/>
    <w:rsid w:val="617772BF"/>
    <w:rsid w:val="623E7CFB"/>
    <w:rsid w:val="62685D90"/>
    <w:rsid w:val="629A4AC8"/>
    <w:rsid w:val="630E342A"/>
    <w:rsid w:val="63BD6F21"/>
    <w:rsid w:val="63E411C1"/>
    <w:rsid w:val="63E52C74"/>
    <w:rsid w:val="645B5CA7"/>
    <w:rsid w:val="64B40309"/>
    <w:rsid w:val="64F678B3"/>
    <w:rsid w:val="65574039"/>
    <w:rsid w:val="65DA482A"/>
    <w:rsid w:val="66E23C50"/>
    <w:rsid w:val="67362E6F"/>
    <w:rsid w:val="67E4394D"/>
    <w:rsid w:val="67EC38D7"/>
    <w:rsid w:val="687A207A"/>
    <w:rsid w:val="68B4726A"/>
    <w:rsid w:val="6C2C5B75"/>
    <w:rsid w:val="6C460F8A"/>
    <w:rsid w:val="6CD5337F"/>
    <w:rsid w:val="6CE14139"/>
    <w:rsid w:val="6CF94FF3"/>
    <w:rsid w:val="6D891B66"/>
    <w:rsid w:val="6D9D524E"/>
    <w:rsid w:val="6E16074B"/>
    <w:rsid w:val="6E2108A4"/>
    <w:rsid w:val="6F6B6EC0"/>
    <w:rsid w:val="6F812424"/>
    <w:rsid w:val="6FD27EFD"/>
    <w:rsid w:val="704470DB"/>
    <w:rsid w:val="71957A7D"/>
    <w:rsid w:val="71A46E80"/>
    <w:rsid w:val="73847695"/>
    <w:rsid w:val="73E0581B"/>
    <w:rsid w:val="745B1F44"/>
    <w:rsid w:val="74DB03FE"/>
    <w:rsid w:val="751F0ACC"/>
    <w:rsid w:val="75852466"/>
    <w:rsid w:val="76171632"/>
    <w:rsid w:val="76286D5F"/>
    <w:rsid w:val="76CE3434"/>
    <w:rsid w:val="77034AF0"/>
    <w:rsid w:val="77BD0CE7"/>
    <w:rsid w:val="77BF7139"/>
    <w:rsid w:val="77C02BE3"/>
    <w:rsid w:val="78954759"/>
    <w:rsid w:val="78A443DB"/>
    <w:rsid w:val="78C67BA5"/>
    <w:rsid w:val="78D41F79"/>
    <w:rsid w:val="79057C53"/>
    <w:rsid w:val="79625A48"/>
    <w:rsid w:val="79D6193D"/>
    <w:rsid w:val="7A5D5424"/>
    <w:rsid w:val="7B3B328E"/>
    <w:rsid w:val="7BE8560D"/>
    <w:rsid w:val="7C0241C1"/>
    <w:rsid w:val="7C324A07"/>
    <w:rsid w:val="7D804DDE"/>
    <w:rsid w:val="7F994359"/>
    <w:rsid w:val="7FDD4807"/>
    <w:rsid w:val="7FE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r"/>
    <w:basedOn w:val="9"/>
    <w:qFormat/>
    <w:uiPriority w:val="0"/>
  </w:style>
  <w:style w:type="character" w:customStyle="1" w:styleId="12">
    <w:name w:val="publishtime"/>
    <w:basedOn w:val="9"/>
    <w:qFormat/>
    <w:uiPriority w:val="0"/>
    <w:rPr>
      <w:color w:val="999999"/>
      <w:sz w:val="16"/>
      <w:szCs w:val="16"/>
    </w:rPr>
  </w:style>
  <w:style w:type="character" w:customStyle="1" w:styleId="13">
    <w:name w:val="text-overflow"/>
    <w:basedOn w:val="9"/>
    <w:qFormat/>
    <w:uiPriority w:val="0"/>
    <w:rPr>
      <w:color w:val="333333"/>
      <w:sz w:val="16"/>
      <w:szCs w:val="16"/>
    </w:rPr>
  </w:style>
  <w:style w:type="character" w:customStyle="1" w:styleId="14">
    <w:name w:val="text-overflow1"/>
    <w:basedOn w:val="9"/>
    <w:qFormat/>
    <w:uiPriority w:val="0"/>
    <w:rPr>
      <w:color w:val="1157B0"/>
    </w:rPr>
  </w:style>
  <w:style w:type="character" w:customStyle="1" w:styleId="15">
    <w:name w:val="hover6"/>
    <w:basedOn w:val="9"/>
    <w:qFormat/>
    <w:uiPriority w:val="0"/>
    <w:rPr>
      <w:color w:val="333333"/>
    </w:rPr>
  </w:style>
  <w:style w:type="character" w:customStyle="1" w:styleId="16">
    <w:name w:val="span4"/>
    <w:basedOn w:val="9"/>
    <w:qFormat/>
    <w:uiPriority w:val="0"/>
    <w:rPr>
      <w:color w:val="DD3232"/>
      <w:shd w:val="clear" w:fill="FEB5B5"/>
    </w:rPr>
  </w:style>
  <w:style w:type="character" w:customStyle="1" w:styleId="17">
    <w:name w:val="last-child"/>
    <w:basedOn w:val="9"/>
    <w:qFormat/>
    <w:uiPriority w:val="0"/>
  </w:style>
  <w:style w:type="character" w:customStyle="1" w:styleId="18">
    <w:name w:val="first-child1"/>
    <w:basedOn w:val="9"/>
    <w:qFormat/>
    <w:uiPriority w:val="0"/>
  </w:style>
  <w:style w:type="character" w:customStyle="1" w:styleId="19">
    <w:name w:val="span1"/>
    <w:basedOn w:val="9"/>
    <w:qFormat/>
    <w:uiPriority w:val="0"/>
    <w:rPr>
      <w:color w:val="666666"/>
      <w:shd w:val="clear" w:fill="EDEDED"/>
    </w:rPr>
  </w:style>
  <w:style w:type="character" w:customStyle="1" w:styleId="20">
    <w:name w:val="span2"/>
    <w:basedOn w:val="9"/>
    <w:qFormat/>
    <w:uiPriority w:val="0"/>
    <w:rPr>
      <w:color w:val="FFFFFF"/>
      <w:shd w:val="clear" w:fill="263596"/>
    </w:rPr>
  </w:style>
  <w:style w:type="character" w:customStyle="1" w:styleId="21">
    <w:name w:val="span3"/>
    <w:basedOn w:val="9"/>
    <w:qFormat/>
    <w:uiPriority w:val="0"/>
    <w:rPr>
      <w:color w:val="26359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1803</Words>
  <Characters>1892</Characters>
  <Lines>0</Lines>
  <Paragraphs>0</Paragraphs>
  <TotalTime>1</TotalTime>
  <ScaleCrop>false</ScaleCrop>
  <LinksUpToDate>false</LinksUpToDate>
  <CharactersWithSpaces>1901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2021-12-02T06:33:00Z</dcterms:created>
  <dc:creator>Administrator</dc:creator>
  <cp:lastModifiedBy>燕双飞</cp:lastModifiedBy>
  <cp:lastPrinted>2023-06-09T02:11:46Z</cp:lastPrinted>
  <dcterms:modified xsi:type="dcterms:W3CDTF">2023-06-09T02:47:41Z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0D8448B0B838441D90F8077B5D529938</vt:lpwstr>
  </property>
</Properties>
</file>